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pPr>
      <w:r>
        <w:rPr>
          <w:rFonts w:eastAsia="Calibri" w:cs="Calibri" w:ascii="Calibri" w:hAnsi="Calibri"/>
          <w:b/>
          <w:sz w:val="48"/>
          <w:szCs w:val="48"/>
        </w:rPr>
        <w:t>How Nature Helps!</w:t>
      </w:r>
    </w:p>
    <w:p>
      <w:pPr>
        <w:pStyle w:val="normal1"/>
        <w:rPr>
          <w:sz w:val="40"/>
          <w:szCs w:val="40"/>
        </w:rPr>
      </w:pPr>
      <w:r>
        <w:rPr>
          <w:rFonts w:eastAsia="Calibri" w:cs="Calibri" w:ascii="Calibri" w:hAnsi="Calibri"/>
          <w:b/>
          <w:sz w:val="40"/>
          <w:szCs w:val="40"/>
        </w:rPr>
        <w:t>Discover 20</w:t>
      </w:r>
      <w:r>
        <w:rPr>
          <w:rFonts w:eastAsia="Calibri" w:cs="Calibri" w:ascii="Calibri" w:hAnsi="Calibri"/>
          <w:b/>
          <w:sz w:val="40"/>
          <w:szCs w:val="40"/>
        </w:rPr>
        <w:t xml:space="preserve"> </w:t>
      </w:r>
      <w:r>
        <w:rPr>
          <w:rFonts w:eastAsia="Calibri" w:cs="Calibri" w:ascii="Calibri" w:hAnsi="Calibri"/>
          <w:b/>
          <w:sz w:val="40"/>
          <w:szCs w:val="40"/>
        </w:rPr>
        <w:t>r</w:t>
      </w:r>
      <w:r>
        <w:rPr>
          <w:rFonts w:eastAsia="Calibri" w:cs="Calibri" w:ascii="Calibri" w:hAnsi="Calibri"/>
          <w:b/>
          <w:sz w:val="40"/>
          <w:szCs w:val="40"/>
        </w:rPr>
        <w:t xml:space="preserve">esearch-based </w:t>
      </w:r>
      <w:r>
        <w:rPr>
          <w:rFonts w:eastAsia="Calibri" w:cs="Calibri" w:ascii="Calibri" w:hAnsi="Calibri"/>
          <w:b/>
          <w:sz w:val="40"/>
          <w:szCs w:val="40"/>
        </w:rPr>
        <w:t>benefits of nature connection</w:t>
      </w:r>
    </w:p>
    <w:p>
      <w:pPr>
        <w:pStyle w:val="normal1"/>
        <w:ind w:hanging="0" w:left="0"/>
        <w:rPr>
          <w:rFonts w:ascii="Calibri" w:hAnsi="Calibri" w:eastAsia="Calibri" w:cs="Calibri"/>
          <w:sz w:val="28"/>
          <w:szCs w:val="28"/>
        </w:rPr>
      </w:pPr>
      <w:r>
        <w:rPr>
          <w:rFonts w:eastAsia="Calibri" w:cs="Calibri" w:ascii="Calibri" w:hAnsi="Calibri"/>
          <w:sz w:val="28"/>
          <w:szCs w:val="28"/>
        </w:rPr>
      </w:r>
    </w:p>
    <w:p>
      <w:pPr>
        <w:pStyle w:val="normal1"/>
        <w:ind w:hanging="0" w:left="0"/>
        <w:rPr>
          <w:sz w:val="36"/>
          <w:szCs w:val="36"/>
          <w:u w:val="none"/>
        </w:rPr>
      </w:pPr>
      <w:r>
        <w:rPr>
          <w:rFonts w:eastAsia="Calibri" w:cs="Calibri" w:ascii="Calibri" w:hAnsi="Calibri"/>
          <w:b/>
          <w:sz w:val="36"/>
          <w:szCs w:val="36"/>
          <w:u w:val="none"/>
        </w:rPr>
        <w:t>The State of our Nature Connection</w:t>
      </w:r>
    </w:p>
    <w:p>
      <w:pPr>
        <w:pStyle w:val="normal1"/>
        <w:numPr>
          <w:ilvl w:val="0"/>
          <w:numId w:val="0"/>
        </w:numPr>
        <w:ind w:hanging="0" w:left="270"/>
        <w:rPr>
          <w:rFonts w:ascii="Calibri" w:hAnsi="Calibri" w:eastAsia="Calibri" w:cs="Calibri"/>
          <w:b/>
          <w:sz w:val="28"/>
          <w:szCs w:val="28"/>
          <w:u w:val="none"/>
        </w:rPr>
      </w:pPr>
      <w:r>
        <w:rPr/>
      </w:r>
    </w:p>
    <w:p>
      <w:pPr>
        <w:pStyle w:val="normal1"/>
        <w:numPr>
          <w:ilvl w:val="0"/>
          <w:numId w:val="3"/>
        </w:numPr>
        <w:ind w:hanging="0" w:left="270"/>
        <w:rPr>
          <w:rFonts w:ascii="Calibri" w:hAnsi="Calibri" w:eastAsia="Calibri" w:cs="Calibri"/>
          <w:b/>
          <w:sz w:val="28"/>
          <w:szCs w:val="28"/>
          <w:u w:val="none"/>
        </w:rPr>
      </w:pPr>
      <w:r>
        <w:rPr>
          <w:rFonts w:eastAsia="Calibri" w:cs="Calibri" w:ascii="Calibri" w:hAnsi="Calibri"/>
          <w:b/>
          <w:sz w:val="28"/>
          <w:szCs w:val="28"/>
        </w:rPr>
        <w:t>70% of British adults feel they have lost their connection to nature</w:t>
      </w:r>
      <w:r>
        <w:rPr>
          <w:rFonts w:eastAsia="Calibri" w:cs="Calibri" w:ascii="Calibri" w:hAnsi="Calibri"/>
          <w:sz w:val="28"/>
          <w:szCs w:val="28"/>
          <w:vertAlign w:val="superscript"/>
        </w:rPr>
        <w:t>1</w:t>
      </w:r>
      <w:r>
        <w:rPr>
          <w:rFonts w:eastAsia="Calibri" w:cs="Calibri" w:ascii="Calibri" w:hAnsi="Calibri"/>
          <w:b/>
          <w:sz w:val="28"/>
          <w:szCs w:val="28"/>
        </w:rPr>
        <w:t xml:space="preserve"> </w:t>
      </w:r>
    </w:p>
    <w:p>
      <w:pPr>
        <w:pStyle w:val="normal1"/>
        <w:numPr>
          <w:ilvl w:val="0"/>
          <w:numId w:val="0"/>
        </w:numPr>
        <w:ind w:hanging="0" w:left="270"/>
        <w:rPr>
          <w:rFonts w:ascii="Calibri" w:hAnsi="Calibri" w:eastAsia="Calibri" w:cs="Calibri"/>
          <w:b/>
          <w:sz w:val="28"/>
          <w:szCs w:val="28"/>
          <w:u w:val="none"/>
        </w:rPr>
      </w:pPr>
      <w:r>
        <w:rPr/>
      </w:r>
    </w:p>
    <w:p>
      <w:pPr>
        <w:pStyle w:val="normal1"/>
        <w:numPr>
          <w:ilvl w:val="0"/>
          <w:numId w:val="3"/>
        </w:numPr>
        <w:ind w:hanging="0" w:left="270"/>
        <w:rPr>
          <w:rFonts w:ascii="Calibri" w:hAnsi="Calibri" w:eastAsia="Calibri" w:cs="Calibri"/>
          <w:b/>
          <w:sz w:val="28"/>
          <w:szCs w:val="28"/>
          <w:u w:val="none"/>
        </w:rPr>
      </w:pPr>
      <w:r>
        <w:rPr>
          <w:rFonts w:eastAsia="Calibri" w:cs="Calibri" w:ascii="Calibri" w:hAnsi="Calibri"/>
          <w:b/>
          <w:sz w:val="28"/>
          <w:szCs w:val="28"/>
        </w:rPr>
        <w:t xml:space="preserve">The UK came 16th out of 18 ‘western’ countries in how connected people felt to nature </w:t>
      </w:r>
      <w:r>
        <w:rPr>
          <w:rFonts w:eastAsia="Calibri" w:cs="Calibri" w:ascii="Calibri" w:hAnsi="Calibri"/>
          <w:b/>
          <w:sz w:val="28"/>
          <w:szCs w:val="28"/>
          <w:vertAlign w:val="superscript"/>
        </w:rPr>
        <w:t>2</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ind w:hanging="0" w:left="0"/>
        <w:rPr>
          <w:sz w:val="36"/>
          <w:szCs w:val="36"/>
          <w:u w:val="none"/>
        </w:rPr>
      </w:pPr>
      <w:r>
        <w:rPr>
          <w:rFonts w:eastAsia="Calibri" w:cs="Calibri" w:ascii="Calibri" w:hAnsi="Calibri"/>
          <w:b/>
          <w:sz w:val="36"/>
          <w:szCs w:val="36"/>
          <w:u w:val="none"/>
        </w:rPr>
        <w:t>Nature Overall</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82% of adults agree that being in nature makes them very happy</w:t>
      </w:r>
      <w:r>
        <w:rPr>
          <w:rFonts w:eastAsia="Calibri" w:cs="Calibri" w:ascii="Calibri" w:hAnsi="Calibri"/>
          <w:sz w:val="20"/>
          <w:szCs w:val="20"/>
        </w:rPr>
        <w:t xml:space="preserve"> </w:t>
      </w:r>
      <w:r>
        <w:rPr>
          <w:rFonts w:eastAsia="Calibri" w:cs="Calibri" w:ascii="Calibri" w:hAnsi="Calibri"/>
          <w:sz w:val="28"/>
          <w:szCs w:val="28"/>
          <w:vertAlign w:val="superscript"/>
        </w:rPr>
        <w:t>3</w:t>
      </w:r>
    </w:p>
    <w:p>
      <w:pPr>
        <w:pStyle w:val="normal1"/>
        <w:ind w:firstLine="720"/>
        <w:rPr>
          <w:rFonts w:ascii="Calibri" w:hAnsi="Calibri" w:eastAsia="Calibri" w:cs="Calibri"/>
          <w:sz w:val="20"/>
          <w:szCs w:val="20"/>
        </w:rPr>
      </w:pPr>
      <w:r>
        <w:rPr>
          <w:rFonts w:eastAsia="Calibri" w:cs="Calibri" w:ascii="Calibri" w:hAnsi="Calibri"/>
          <w:sz w:val="20"/>
          <w:szCs w:val="20"/>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 xml:space="preserve">Time spent in nature is linked to a range of positive mental and physical health outcomes </w:t>
      </w:r>
      <w:r>
        <w:rPr>
          <w:rFonts w:eastAsia="Calibri" w:cs="Calibri" w:ascii="Calibri" w:hAnsi="Calibri"/>
          <w:sz w:val="28"/>
          <w:szCs w:val="28"/>
          <w:vertAlign w:val="superscript"/>
        </w:rPr>
        <w:t>4</w:t>
      </w:r>
    </w:p>
    <w:p>
      <w:pPr>
        <w:pStyle w:val="normal1"/>
        <w:ind w:hanging="0" w:left="720"/>
        <w:rPr>
          <w:rFonts w:ascii="Calibri" w:hAnsi="Calibri" w:eastAsia="Calibri" w:cs="Calibri"/>
          <w:b/>
          <w:sz w:val="28"/>
          <w:szCs w:val="28"/>
        </w:rPr>
      </w:pPr>
      <w:r>
        <w:rPr>
          <w:rFonts w:eastAsia="Calibri" w:cs="Calibri" w:ascii="Calibri" w:hAnsi="Calibri"/>
          <w:b/>
          <w:sz w:val="28"/>
          <w:szCs w:val="28"/>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 xml:space="preserve">Noticing and engaging with nature appears to have a stronger link to our wellbeing than the amount of time spent in nature </w:t>
      </w:r>
      <w:r>
        <w:rPr>
          <w:rFonts w:eastAsia="Calibri" w:cs="Calibri" w:ascii="Calibri" w:hAnsi="Calibri"/>
          <w:sz w:val="28"/>
          <w:szCs w:val="28"/>
          <w:vertAlign w:val="superscript"/>
        </w:rPr>
        <w:t>1</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Noticing 3 good things in nature regularly improves wellbeing, makes you happier, more satisfied with life and feel that life is worthwhile.</w:t>
      </w:r>
      <w:r>
        <w:rPr>
          <w:rFonts w:eastAsia="Calibri" w:cs="Calibri" w:ascii="Calibri" w:hAnsi="Calibri"/>
          <w:sz w:val="28"/>
          <w:szCs w:val="28"/>
          <w:vertAlign w:val="superscript"/>
        </w:rPr>
        <w:t>5,6</w:t>
      </w:r>
    </w:p>
    <w:p>
      <w:pPr>
        <w:pStyle w:val="normal1"/>
        <w:ind w:hanging="0" w:left="1440"/>
        <w:rPr>
          <w:rFonts w:ascii="Calibri" w:hAnsi="Calibri" w:eastAsia="Calibri" w:cs="Calibri"/>
          <w:sz w:val="20"/>
          <w:szCs w:val="20"/>
        </w:rPr>
      </w:pPr>
      <w:r>
        <w:rPr>
          <w:rFonts w:eastAsia="Calibri" w:cs="Calibri" w:ascii="Calibri" w:hAnsi="Calibri"/>
          <w:sz w:val="20"/>
          <w:szCs w:val="20"/>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Engaging in Citizen Science regularly makes you happier, more satisfied with life and feel that life is worthwhile.</w:t>
      </w:r>
      <w:r>
        <w:rPr>
          <w:rFonts w:eastAsia="Calibri" w:cs="Calibri" w:ascii="Calibri" w:hAnsi="Calibri"/>
          <w:sz w:val="28"/>
          <w:szCs w:val="28"/>
          <w:vertAlign w:val="superscript"/>
        </w:rPr>
        <w:t>6</w:t>
      </w:r>
    </w:p>
    <w:p>
      <w:pPr>
        <w:pStyle w:val="normal1"/>
        <w:ind w:hanging="0" w:left="720"/>
        <w:rPr>
          <w:rFonts w:ascii="Calibri" w:hAnsi="Calibri" w:eastAsia="Calibri" w:cs="Calibri"/>
          <w:sz w:val="20"/>
          <w:szCs w:val="20"/>
        </w:rPr>
      </w:pPr>
      <w:r>
        <w:rPr>
          <w:rFonts w:eastAsia="Calibri" w:cs="Calibri" w:ascii="Calibri" w:hAnsi="Calibri"/>
          <w:sz w:val="20"/>
          <w:szCs w:val="20"/>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Sense of connection to nature is key to a person’s sense that their life is worthwhile, and is 4 times more important than their socioeconomic status</w:t>
      </w:r>
      <w:r>
        <w:rPr>
          <w:rFonts w:eastAsia="Calibri" w:cs="Calibri" w:ascii="Calibri" w:hAnsi="Calibri"/>
          <w:sz w:val="28"/>
          <w:szCs w:val="28"/>
          <w:vertAlign w:val="superscript"/>
        </w:rPr>
        <w:t>7</w:t>
      </w:r>
    </w:p>
    <w:p>
      <w:pPr>
        <w:pStyle w:val="normal1"/>
        <w:rPr>
          <w:rFonts w:ascii="Calibri" w:hAnsi="Calibri" w:eastAsia="Calibri" w:cs="Calibri"/>
          <w:sz w:val="28"/>
          <w:szCs w:val="28"/>
          <w:vertAlign w:val="superscript"/>
        </w:rPr>
      </w:pPr>
      <w:r>
        <w:rPr>
          <w:rFonts w:eastAsia="Calibri" w:cs="Calibri" w:ascii="Calibri" w:hAnsi="Calibri"/>
          <w:sz w:val="28"/>
          <w:szCs w:val="28"/>
          <w:vertAlign w:val="superscript"/>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People who are more connected with nature are usually happier in life and more likely to report their lives are worthwhile</w:t>
      </w:r>
      <w:r>
        <w:rPr>
          <w:rFonts w:eastAsia="Calibri" w:cs="Calibri" w:ascii="Calibri" w:hAnsi="Calibri"/>
          <w:sz w:val="28"/>
          <w:szCs w:val="28"/>
        </w:rPr>
        <w:t xml:space="preserve"> </w:t>
      </w:r>
      <w:r>
        <w:rPr>
          <w:rFonts w:eastAsia="Calibri" w:cs="Calibri" w:ascii="Calibri" w:hAnsi="Calibri"/>
          <w:sz w:val="28"/>
          <w:szCs w:val="28"/>
          <w:vertAlign w:val="superscript"/>
        </w:rPr>
        <w:t>8,9</w:t>
      </w:r>
    </w:p>
    <w:p>
      <w:pPr>
        <w:pStyle w:val="normal1"/>
        <w:shd w:val="clear" w:fill="FFFFFF"/>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Nature connectedness is associated with lower levels of depression and anxiety</w:t>
      </w:r>
      <w:r>
        <w:rPr>
          <w:rFonts w:eastAsia="Calibri" w:cs="Calibri" w:ascii="Calibri" w:hAnsi="Calibri"/>
          <w:sz w:val="28"/>
          <w:szCs w:val="28"/>
          <w:vertAlign w:val="superscript"/>
        </w:rPr>
        <w:t xml:space="preserve"> 10</w:t>
      </w:r>
    </w:p>
    <w:p>
      <w:pPr>
        <w:pStyle w:val="normal1"/>
        <w:ind w:hanging="0" w:left="720"/>
        <w:rPr>
          <w:rFonts w:ascii="Calibri" w:hAnsi="Calibri" w:eastAsia="Calibri" w:cs="Calibri"/>
          <w:sz w:val="28"/>
          <w:szCs w:val="28"/>
          <w:vertAlign w:val="superscript"/>
        </w:rPr>
      </w:pPr>
      <w:r>
        <w:rPr>
          <w:rFonts w:eastAsia="Calibri" w:cs="Calibri" w:ascii="Calibri" w:hAnsi="Calibri"/>
          <w:sz w:val="28"/>
          <w:szCs w:val="28"/>
          <w:vertAlign w:val="superscript"/>
        </w:rPr>
      </w:r>
    </w:p>
    <w:p>
      <w:pPr>
        <w:pStyle w:val="normal1"/>
        <w:numPr>
          <w:ilvl w:val="0"/>
          <w:numId w:val="2"/>
        </w:numPr>
        <w:ind w:hanging="360" w:left="720"/>
        <w:rPr>
          <w:rFonts w:ascii="Roboto" w:hAnsi="Roboto" w:eastAsia="Roboto" w:cs="Roboto"/>
          <w:color w:val="212121"/>
          <w:sz w:val="28"/>
          <w:szCs w:val="28"/>
          <w:highlight w:val="white"/>
        </w:rPr>
      </w:pPr>
      <w:r>
        <w:rPr>
          <w:rFonts w:eastAsia="Calibri" w:cs="Calibri" w:ascii="Calibri" w:hAnsi="Calibri"/>
          <w:b/>
          <w:color w:val="212121"/>
          <w:sz w:val="28"/>
          <w:szCs w:val="28"/>
          <w:highlight w:val="white"/>
        </w:rPr>
        <w:t>People are 28% less likely to feel lonely when they can see or hear nature</w:t>
      </w:r>
      <w:r>
        <w:rPr>
          <w:rFonts w:eastAsia="Calibri" w:cs="Calibri" w:ascii="Calibri" w:hAnsi="Calibri"/>
          <w:color w:val="212121"/>
          <w:sz w:val="28"/>
          <w:szCs w:val="28"/>
          <w:highlight w:val="white"/>
          <w:vertAlign w:val="superscript"/>
        </w:rPr>
        <w:t>11</w:t>
      </w:r>
    </w:p>
    <w:p>
      <w:pPr>
        <w:pStyle w:val="normal1"/>
        <w:ind w:hanging="0" w:left="720"/>
        <w:rPr>
          <w:rFonts w:ascii="Roboto" w:hAnsi="Roboto" w:eastAsia="Roboto" w:cs="Roboto"/>
          <w:b/>
          <w:color w:val="212121"/>
          <w:sz w:val="26"/>
          <w:szCs w:val="26"/>
          <w:highlight w:val="white"/>
        </w:rPr>
      </w:pPr>
      <w:r>
        <w:rPr>
          <w:rFonts w:eastAsia="Roboto" w:cs="Roboto" w:ascii="Roboto" w:hAnsi="Roboto"/>
          <w:b/>
          <w:color w:val="212121"/>
          <w:sz w:val="26"/>
          <w:szCs w:val="26"/>
          <w:highlight w:val="white"/>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 xml:space="preserve">Increased exposure to green spaces is associated with better brain function </w:t>
      </w:r>
      <w:r>
        <w:rPr>
          <w:rFonts w:eastAsia="Calibri" w:cs="Calibri" w:ascii="Calibri" w:hAnsi="Calibri"/>
          <w:sz w:val="28"/>
          <w:szCs w:val="28"/>
          <w:vertAlign w:val="superscript"/>
        </w:rPr>
        <w:t>12</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The more biodiverse the greater the effect on wellbeing</w:t>
      </w:r>
      <w:r>
        <w:rPr>
          <w:rFonts w:eastAsia="Calibri" w:cs="Calibri" w:ascii="Calibri" w:hAnsi="Calibri"/>
          <w:sz w:val="28"/>
          <w:szCs w:val="28"/>
        </w:rPr>
        <w:t xml:space="preserve"> </w:t>
      </w:r>
      <w:r>
        <w:rPr>
          <w:rFonts w:eastAsia="Calibri" w:cs="Calibri" w:ascii="Calibri" w:hAnsi="Calibri"/>
          <w:sz w:val="28"/>
          <w:szCs w:val="28"/>
          <w:vertAlign w:val="superscript"/>
        </w:rPr>
        <w:t>10,13</w:t>
      </w:r>
    </w:p>
    <w:p>
      <w:pPr>
        <w:pStyle w:val="normal1"/>
        <w:ind w:hanging="0" w:left="720"/>
        <w:rPr>
          <w:rFonts w:ascii="Calibri" w:hAnsi="Calibri" w:eastAsia="Calibri" w:cs="Calibri"/>
          <w:sz w:val="20"/>
          <w:szCs w:val="20"/>
        </w:rPr>
      </w:pPr>
      <w:r>
        <w:rPr>
          <w:rFonts w:eastAsia="Calibri" w:cs="Calibri" w:ascii="Calibri" w:hAnsi="Calibri"/>
          <w:sz w:val="20"/>
          <w:szCs w:val="20"/>
        </w:rPr>
      </w:r>
    </w:p>
    <w:p>
      <w:pPr>
        <w:pStyle w:val="normal1"/>
        <w:numPr>
          <w:ilvl w:val="0"/>
          <w:numId w:val="2"/>
        </w:numPr>
        <w:shd w:val="clear" w:fill="FFFFFF"/>
        <w:ind w:hanging="360" w:left="720"/>
        <w:rPr>
          <w:rFonts w:ascii="Calibri" w:hAnsi="Calibri" w:eastAsia="Calibri" w:cs="Calibri"/>
          <w:b/>
          <w:sz w:val="28"/>
          <w:szCs w:val="28"/>
          <w:u w:val="none"/>
        </w:rPr>
      </w:pPr>
      <w:r>
        <w:rPr>
          <w:rFonts w:eastAsia="Calibri" w:cs="Calibri" w:ascii="Calibri" w:hAnsi="Calibri"/>
          <w:b/>
          <w:sz w:val="28"/>
          <w:szCs w:val="28"/>
        </w:rPr>
        <w:t xml:space="preserve">We recover faster from stress if we see or hear nature </w:t>
      </w:r>
      <w:r>
        <w:rPr>
          <w:rFonts w:eastAsia="Calibri" w:cs="Calibri" w:ascii="Calibri" w:hAnsi="Calibri"/>
          <w:b/>
          <w:sz w:val="28"/>
          <w:szCs w:val="28"/>
          <w:vertAlign w:val="superscript"/>
        </w:rPr>
        <w:t>15</w:t>
      </w:r>
    </w:p>
    <w:p>
      <w:pPr>
        <w:pStyle w:val="normal1"/>
        <w:ind w:hanging="0" w:left="720"/>
        <w:rPr>
          <w:rFonts w:ascii="Calibri" w:hAnsi="Calibri" w:eastAsia="Calibri" w:cs="Calibri"/>
          <w:sz w:val="20"/>
          <w:szCs w:val="20"/>
        </w:rPr>
      </w:pPr>
      <w:r>
        <w:rPr/>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ind w:hanging="0" w:left="0"/>
        <w:rPr>
          <w:sz w:val="36"/>
          <w:szCs w:val="36"/>
          <w:u w:val="none"/>
        </w:rPr>
      </w:pPr>
      <w:r>
        <w:rPr>
          <w:rFonts w:eastAsia="Calibri" w:cs="Calibri" w:ascii="Calibri" w:hAnsi="Calibri"/>
          <w:b/>
          <w:sz w:val="36"/>
          <w:szCs w:val="36"/>
          <w:u w:val="none"/>
        </w:rPr>
        <w:t>Forest Bathing</w:t>
      </w:r>
    </w:p>
    <w:p>
      <w:pPr>
        <w:pStyle w:val="normal1"/>
        <w:ind w:hanging="0" w:left="0"/>
        <w:rPr>
          <w:rFonts w:ascii="Calibri" w:hAnsi="Calibri" w:eastAsia="Calibri" w:cs="Calibri"/>
          <w:b/>
          <w:sz w:val="28"/>
          <w:szCs w:val="28"/>
          <w:u w:val="single"/>
        </w:rPr>
      </w:pPr>
      <w:r>
        <w:rPr/>
      </w:r>
    </w:p>
    <w:p>
      <w:pPr>
        <w:pStyle w:val="normal1"/>
        <w:rPr>
          <w:rFonts w:ascii="Calibri" w:hAnsi="Calibri" w:eastAsia="Calibri" w:cs="Calibri"/>
          <w:sz w:val="28"/>
          <w:szCs w:val="28"/>
        </w:rPr>
      </w:pPr>
      <w:r>
        <w:rPr>
          <w:rFonts w:eastAsia="Calibri" w:cs="Calibri" w:ascii="Calibri" w:hAnsi="Calibri"/>
          <w:sz w:val="28"/>
          <w:szCs w:val="28"/>
        </w:rPr>
        <w:t>Forest bathing is a traditional Japanese practice of immersing oneself in forest or woodland nature mindfully using all 5 senses. Initiated by the Japanese government in the 1980s to combat work-related stress in people living in urban areas. There has now been a lot of research on the benefits.</w:t>
      </w:r>
    </w:p>
    <w:p>
      <w:pPr>
        <w:pStyle w:val="normal1"/>
        <w:ind w:hanging="0" w:left="0"/>
        <w:rPr>
          <w:rFonts w:ascii="Calibri" w:hAnsi="Calibri" w:eastAsia="Calibri" w:cs="Calibri"/>
          <w:b/>
          <w:sz w:val="28"/>
          <w:szCs w:val="28"/>
        </w:rPr>
      </w:pPr>
      <w:r>
        <w:rPr>
          <w:rFonts w:eastAsia="Calibri" w:cs="Calibri" w:ascii="Calibri" w:hAnsi="Calibri"/>
          <w:b/>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 xml:space="preserve">Forest bathing reduces blood pressure and heart rate </w:t>
      </w:r>
      <w:r>
        <w:rPr>
          <w:rFonts w:eastAsia="Calibri" w:cs="Calibri" w:ascii="Calibri" w:hAnsi="Calibri"/>
          <w:b/>
          <w:sz w:val="28"/>
          <w:szCs w:val="28"/>
          <w:vertAlign w:val="superscript"/>
        </w:rPr>
        <w:t>16</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 xml:space="preserve">Forest bathing reduces stress hormones </w:t>
      </w:r>
      <w:r>
        <w:rPr>
          <w:rFonts w:eastAsia="Calibri" w:cs="Calibri" w:ascii="Calibri" w:hAnsi="Calibri"/>
          <w:b/>
          <w:sz w:val="28"/>
          <w:szCs w:val="28"/>
          <w:vertAlign w:val="superscript"/>
        </w:rPr>
        <w:t>16</w:t>
      </w:r>
    </w:p>
    <w:p>
      <w:pPr>
        <w:pStyle w:val="normal1"/>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Forest bathing reduces anxiety, depression, grief, isolation and anger.</w:t>
      </w:r>
      <w:r>
        <w:rPr>
          <w:rFonts w:eastAsia="Calibri" w:cs="Calibri" w:ascii="Calibri" w:hAnsi="Calibri"/>
          <w:b/>
          <w:sz w:val="28"/>
          <w:szCs w:val="28"/>
          <w:vertAlign w:val="superscript"/>
        </w:rPr>
        <w:t>16</w:t>
      </w:r>
    </w:p>
    <w:p>
      <w:pPr>
        <w:pStyle w:val="normal1"/>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Forest bathing boosts our immune system</w:t>
      </w:r>
      <w:r>
        <w:rPr>
          <w:rFonts w:eastAsia="Calibri" w:cs="Calibri" w:ascii="Calibri" w:hAnsi="Calibri"/>
          <w:b/>
          <w:sz w:val="28"/>
          <w:szCs w:val="28"/>
          <w:vertAlign w:val="superscript"/>
        </w:rPr>
        <w:t>17</w:t>
      </w:r>
    </w:p>
    <w:p>
      <w:pPr>
        <w:pStyle w:val="normal1"/>
        <w:numPr>
          <w:ilvl w:val="0"/>
          <w:numId w:val="0"/>
        </w:numPr>
        <w:ind w:hanging="0" w:left="720"/>
        <w:rPr>
          <w:rFonts w:ascii="Calibri" w:hAnsi="Calibri" w:eastAsia="Calibri" w:cs="Calibri"/>
          <w:b/>
          <w:sz w:val="28"/>
          <w:szCs w:val="28"/>
        </w:rPr>
      </w:pPr>
      <w:r>
        <w:rPr/>
      </w:r>
    </w:p>
    <w:p>
      <w:pPr>
        <w:pStyle w:val="normal1"/>
        <w:ind w:hanging="0" w:left="0"/>
        <w:rPr>
          <w:rFonts w:ascii="Calibri" w:hAnsi="Calibri" w:eastAsia="Calibri" w:cs="Calibri"/>
          <w:b/>
          <w:sz w:val="28"/>
          <w:szCs w:val="28"/>
        </w:rPr>
      </w:pPr>
      <w:r>
        <w:rPr>
          <w:rFonts w:eastAsia="Calibri" w:cs="Calibri" w:ascii="Calibri" w:hAnsi="Calibri"/>
          <w:b/>
          <w:sz w:val="28"/>
          <w:szCs w:val="28"/>
        </w:rPr>
      </w:r>
    </w:p>
    <w:p>
      <w:pPr>
        <w:pStyle w:val="normal1"/>
        <w:ind w:hanging="0" w:left="0"/>
        <w:rPr>
          <w:sz w:val="36"/>
          <w:szCs w:val="36"/>
          <w:u w:val="none"/>
        </w:rPr>
      </w:pPr>
      <w:r>
        <w:rPr>
          <w:rFonts w:eastAsia="Calibri" w:cs="Calibri" w:ascii="Calibri" w:hAnsi="Calibri"/>
          <w:b/>
          <w:sz w:val="36"/>
          <w:szCs w:val="36"/>
          <w:u w:val="none"/>
        </w:rPr>
        <w:t>Flowers</w:t>
      </w:r>
    </w:p>
    <w:p>
      <w:pPr>
        <w:pStyle w:val="normal1"/>
        <w:ind w:hanging="0" w:left="0"/>
        <w:rPr>
          <w:rFonts w:ascii="Calibri" w:hAnsi="Calibri" w:eastAsia="Calibri" w:cs="Calibri"/>
          <w:b/>
          <w:sz w:val="28"/>
          <w:szCs w:val="28"/>
        </w:rPr>
      </w:pPr>
      <w:r>
        <w:rPr>
          <w:rFonts w:eastAsia="Calibri" w:cs="Calibri" w:ascii="Calibri" w:hAnsi="Calibri"/>
          <w:b/>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 xml:space="preserve">Looking at flowers for 4 minutes decreases stress </w:t>
      </w:r>
      <w:r>
        <w:rPr>
          <w:rFonts w:eastAsia="Calibri" w:cs="Calibri" w:ascii="Calibri" w:hAnsi="Calibri"/>
          <w:b/>
          <w:sz w:val="28"/>
          <w:szCs w:val="28"/>
          <w:vertAlign w:val="superscript"/>
        </w:rPr>
        <w:t>18</w:t>
      </w:r>
    </w:p>
    <w:p>
      <w:pPr>
        <w:pStyle w:val="normal1"/>
        <w:ind w:hanging="0" w:left="720"/>
        <w:rPr>
          <w:rFonts w:ascii="Calibri" w:hAnsi="Calibri" w:eastAsia="Calibri" w:cs="Calibri"/>
          <w:sz w:val="20"/>
          <w:szCs w:val="20"/>
        </w:rPr>
      </w:pPr>
      <w:r>
        <w:rPr>
          <w:rFonts w:eastAsia="Calibri" w:cs="Calibri" w:ascii="Calibri" w:hAnsi="Calibri"/>
          <w:sz w:val="20"/>
          <w:szCs w:val="20"/>
        </w:rPr>
        <w:t>31 office workers stared at roses or nothing for 4 mins.  Roses significantly increased Parasympathetic Nervous System activity  - associated with rest and recovery as opposed to fight or flight.</w:t>
      </w:r>
    </w:p>
    <w:p>
      <w:pPr>
        <w:pStyle w:val="normal1"/>
        <w:rPr>
          <w:rFonts w:ascii="Calibri" w:hAnsi="Calibri" w:eastAsia="Calibri" w:cs="Calibri"/>
          <w:sz w:val="28"/>
          <w:szCs w:val="28"/>
        </w:rPr>
      </w:pPr>
      <w:r>
        <w:rPr>
          <w:rFonts w:eastAsia="Calibri" w:cs="Calibri" w:ascii="Calibri" w:hAnsi="Calibri"/>
          <w:sz w:val="28"/>
          <w:szCs w:val="28"/>
        </w:rPr>
        <w:tab/>
      </w:r>
    </w:p>
    <w:p>
      <w:pPr>
        <w:pStyle w:val="normal1"/>
        <w:ind w:hanging="0" w:left="0"/>
        <w:rPr>
          <w:sz w:val="36"/>
          <w:szCs w:val="36"/>
          <w:u w:val="none"/>
        </w:rPr>
      </w:pPr>
      <w:r>
        <w:rPr>
          <w:rFonts w:eastAsia="Calibri" w:cs="Calibri" w:ascii="Calibri" w:hAnsi="Calibri"/>
          <w:b/>
          <w:sz w:val="36"/>
          <w:szCs w:val="36"/>
          <w:u w:val="none"/>
        </w:rPr>
        <w:t>Birds</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 xml:space="preserve">Seeing or hearing birds improves our wellbeing with the beneficial effect lasting for hours </w:t>
      </w:r>
      <w:r>
        <w:rPr>
          <w:rFonts w:eastAsia="Calibri" w:cs="Calibri" w:ascii="Calibri" w:hAnsi="Calibri"/>
          <w:b/>
          <w:sz w:val="28"/>
          <w:szCs w:val="28"/>
          <w:vertAlign w:val="superscript"/>
        </w:rPr>
        <w:t>19</w:t>
      </w:r>
    </w:p>
    <w:p>
      <w:pPr>
        <w:pStyle w:val="normal1"/>
        <w:ind w:hanging="0" w:left="0"/>
        <w:rPr>
          <w:rFonts w:ascii="Roboto" w:hAnsi="Roboto" w:eastAsia="Roboto" w:cs="Roboto"/>
          <w:b/>
          <w:color w:val="222222"/>
          <w:sz w:val="28"/>
          <w:szCs w:val="28"/>
          <w:highlight w:val="white"/>
        </w:rPr>
      </w:pPr>
      <w:r>
        <w:rPr>
          <w:rFonts w:eastAsia="Roboto" w:cs="Roboto" w:ascii="Roboto" w:hAnsi="Roboto"/>
          <w:b/>
          <w:color w:val="222222"/>
          <w:sz w:val="28"/>
          <w:szCs w:val="28"/>
          <w:highlight w:val="white"/>
        </w:rPr>
      </w:r>
    </w:p>
    <w:p>
      <w:pPr>
        <w:pStyle w:val="normal1"/>
        <w:numPr>
          <w:ilvl w:val="0"/>
          <w:numId w:val="2"/>
        </w:numPr>
        <w:ind w:hanging="360" w:left="720"/>
        <w:rPr>
          <w:rFonts w:ascii="Calibri" w:hAnsi="Calibri" w:eastAsia="Calibri" w:cs="Calibri"/>
          <w:sz w:val="28"/>
          <w:szCs w:val="28"/>
        </w:rPr>
      </w:pPr>
      <w:r>
        <w:rPr>
          <w:rFonts w:eastAsia="Calibri" w:cs="Calibri" w:ascii="Calibri" w:hAnsi="Calibri"/>
          <w:b/>
          <w:sz w:val="28"/>
          <w:szCs w:val="28"/>
        </w:rPr>
        <w:t xml:space="preserve">People feel that birdsong helps them recover from stress and attention fatigue </w:t>
      </w:r>
      <w:r>
        <w:rPr>
          <w:rFonts w:eastAsia="Calibri" w:cs="Calibri" w:ascii="Calibri" w:hAnsi="Calibri"/>
          <w:b/>
          <w:sz w:val="28"/>
          <w:szCs w:val="28"/>
          <w:vertAlign w:val="superscript"/>
        </w:rPr>
        <w:t>20</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ind w:hanging="0" w:left="0"/>
        <w:rPr>
          <w:sz w:val="36"/>
          <w:szCs w:val="36"/>
          <w:u w:val="none"/>
        </w:rPr>
      </w:pPr>
      <w:r>
        <w:rPr>
          <w:rFonts w:eastAsia="Calibri" w:cs="Calibri" w:ascii="Calibri" w:hAnsi="Calibri"/>
          <w:b/>
          <w:sz w:val="36"/>
          <w:szCs w:val="36"/>
          <w:u w:val="none"/>
        </w:rPr>
        <w:t>Nose Breathing in nature. Give it a go!</w:t>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numPr>
          <w:ilvl w:val="0"/>
          <w:numId w:val="2"/>
        </w:numPr>
        <w:ind w:hanging="360" w:left="720"/>
        <w:rPr>
          <w:rFonts w:ascii="Calibri" w:hAnsi="Calibri" w:eastAsia="Calibri" w:cs="Calibri"/>
          <w:b/>
          <w:sz w:val="28"/>
          <w:szCs w:val="28"/>
        </w:rPr>
      </w:pPr>
      <w:r>
        <w:rPr>
          <w:rFonts w:eastAsia="Calibri" w:cs="Calibri" w:ascii="Calibri" w:hAnsi="Calibri"/>
          <w:b/>
          <w:sz w:val="28"/>
          <w:szCs w:val="28"/>
        </w:rPr>
        <w:t>Breathing in through your nose reduces blood pressure and improves the level of oxygen in your blood.</w:t>
      </w:r>
    </w:p>
    <w:p>
      <w:pPr>
        <w:pStyle w:val="normal1"/>
        <w:ind w:hanging="0" w:left="720"/>
        <w:rPr>
          <w:rFonts w:ascii="Calibri" w:hAnsi="Calibri" w:eastAsia="Calibri" w:cs="Calibri"/>
          <w:sz w:val="20"/>
          <w:szCs w:val="20"/>
        </w:rPr>
      </w:pPr>
      <w:r>
        <w:rPr>
          <w:rFonts w:eastAsia="Calibri" w:cs="Calibri" w:ascii="Calibri" w:hAnsi="Calibri"/>
          <w:sz w:val="20"/>
          <w:szCs w:val="20"/>
        </w:rPr>
        <w:t>Nitric Oxide is a molecule released from the nose and sinuses into the air when we breath in through our nose. It is both a vasodilator and bronchodilator so it relaxes blood vessels reducing blood pressure, and opens up the airways increasing the level of oxygen in your blood compared to mouth breathing.</w:t>
      </w:r>
    </w:p>
    <w:p>
      <w:pPr>
        <w:pStyle w:val="normal1"/>
        <w:rPr>
          <w:rFonts w:ascii="Calibri" w:hAnsi="Calibri" w:eastAsia="Calibri" w:cs="Calibri"/>
          <w:sz w:val="28"/>
          <w:szCs w:val="28"/>
        </w:rPr>
      </w:pPr>
      <w:r>
        <w:rPr>
          <w:rFonts w:eastAsia="Calibri" w:cs="Calibri" w:ascii="Calibri" w:hAnsi="Calibri"/>
          <w:sz w:val="28"/>
          <w:szCs w:val="28"/>
        </w:rPr>
      </w:r>
    </w:p>
    <w:p>
      <w:pPr>
        <w:pStyle w:val="normal1"/>
        <w:rPr>
          <w:sz w:val="36"/>
          <w:szCs w:val="36"/>
        </w:rPr>
      </w:pPr>
      <w:r>
        <w:rPr>
          <w:rFonts w:eastAsia="Calibri" w:cs="Calibri" w:ascii="Calibri" w:hAnsi="Calibri"/>
          <w:b/>
          <w:sz w:val="36"/>
          <w:szCs w:val="36"/>
        </w:rPr>
        <w:t>References:</w:t>
      </w:r>
    </w:p>
    <w:p>
      <w:pPr>
        <w:pStyle w:val="normal1"/>
        <w:rPr>
          <w:rFonts w:ascii="Calibri" w:hAnsi="Calibri" w:eastAsia="Calibri" w:cs="Calibri"/>
          <w:sz w:val="28"/>
          <w:szCs w:val="28"/>
        </w:rPr>
      </w:pPr>
      <w:r>
        <w:rPr>
          <w:rFonts w:eastAsia="Calibri" w:cs="Calibri" w:ascii="Calibri" w:hAnsi="Calibri"/>
          <w:sz w:val="28"/>
          <w:szCs w:val="28"/>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rPr>
        <w:t>Moments, not minutes: The nature-wellbeing relationship. Richardson, M., Passmore, H-A., Lumber, R., Thomas, R.,  Hunt, A. (2021)  International Journal of Wellbeing 11(1) 8-33</w:t>
      </w:r>
    </w:p>
    <w:p>
      <w:pPr>
        <w:pStyle w:val="normal1"/>
        <w:shd w:val="clear" w:fill="FFFFFF"/>
        <w:ind w:hanging="0" w:left="720"/>
        <w:rPr>
          <w:rFonts w:ascii="Calibri" w:hAnsi="Calibri" w:eastAsia="Calibri" w:cs="Calibri"/>
        </w:rPr>
      </w:pPr>
      <w:hyperlink r:id="rId2">
        <w:r>
          <w:rPr>
            <w:rStyle w:val="Style3"/>
            <w:rFonts w:eastAsia="Calibri" w:cs="Calibri" w:ascii="Calibri" w:hAnsi="Calibri"/>
            <w:color w:val="1155CC"/>
            <w:u w:val="single"/>
          </w:rPr>
          <w:t>https://doi.org/10.5502/ijw.v11i1.1267</w:t>
        </w:r>
      </w:hyperlink>
      <w:r>
        <w:rPr>
          <w:rFonts w:eastAsia="Calibri" w:cs="Calibri" w:ascii="Calibri" w:hAnsi="Calibri"/>
        </w:rPr>
        <w:t xml:space="preserve">  </w:t>
      </w:r>
      <w:hyperlink r:id="rId3">
        <w:r>
          <w:rPr>
            <w:rStyle w:val="Style3"/>
            <w:rFonts w:eastAsia="Calibri" w:cs="Calibri" w:ascii="Calibri" w:hAnsi="Calibri"/>
            <w:color w:val="1155CC"/>
            <w:u w:val="single"/>
          </w:rPr>
          <w:t>https://www.internationaljournalofwellbeing.org/index.php/ijow/article/view/1267/1015</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rPr>
        <w:t>White, M. P., Elliott, L. R., Grellier, J., Economou, T., Bell, S., Bratman, G. N., &amp; Fleming, L. E. (2021). Associations between green/blue spaces and mental health across 18 countries. Scientific Reports, 11(1), 1-12.  https://doi. org/10.1038/s41598-021-87675-0</w:t>
      </w:r>
    </w:p>
    <w:p>
      <w:pPr>
        <w:pStyle w:val="normal1"/>
        <w:ind w:hanging="0" w:left="0"/>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hyperlink r:id="rId4">
        <w:r>
          <w:rPr>
            <w:rStyle w:val="Style3"/>
            <w:rFonts w:eastAsia="Calibri" w:cs="Calibri" w:ascii="Calibri" w:hAnsi="Calibri"/>
            <w:color w:val="1155CC"/>
            <w:u w:val="single"/>
          </w:rPr>
          <w:t>https://www.gov.uk/government/statistics/the-people-and-nature-survey-for-england-year-2-annual-report-data-and-publications-april-2021-march-2022-official-statistics-main-findings/the-people-and-nature-survey-for-england-year-2-annual-report-data-and-publications-april-2021-march-2022-official-statistics-main-findings</w:t>
        </w:r>
      </w:hyperlink>
    </w:p>
    <w:p>
      <w:pPr>
        <w:pStyle w:val="normal1"/>
        <w:shd w:val="clear" w:fill="FFFFFF"/>
        <w:ind w:hanging="0" w:left="0"/>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rPr>
        <w:t>Mughal R., Seers H., Polley M., Sabey A. &amp; Chatterjee H.J. (2022) How the natural</w:t>
      </w:r>
    </w:p>
    <w:p>
      <w:pPr>
        <w:pStyle w:val="normal1"/>
        <w:shd w:val="clear" w:fill="FFFFFF"/>
        <w:ind w:hanging="0" w:left="720"/>
        <w:rPr>
          <w:rFonts w:ascii="Calibri" w:hAnsi="Calibri" w:eastAsia="Calibri" w:cs="Calibri"/>
        </w:rPr>
      </w:pPr>
      <w:r>
        <w:rPr>
          <w:rFonts w:eastAsia="Calibri" w:cs="Calibri" w:ascii="Calibri" w:hAnsi="Calibri"/>
        </w:rPr>
        <w:t>environment can support health and wellbeing through social prescribing. National Academy for Social Prescribing</w:t>
      </w:r>
    </w:p>
    <w:p>
      <w:pPr>
        <w:pStyle w:val="normal1"/>
        <w:shd w:val="clear" w:fill="FFFFFF"/>
        <w:ind w:hanging="0" w:left="720"/>
        <w:rPr>
          <w:rFonts w:ascii="Calibri" w:hAnsi="Calibri" w:eastAsia="Calibri" w:cs="Calibri"/>
        </w:rPr>
      </w:pPr>
      <w:hyperlink r:id="rId5">
        <w:r>
          <w:rPr>
            <w:rStyle w:val="Style3"/>
            <w:rFonts w:eastAsia="Calibri" w:cs="Calibri" w:ascii="Calibri" w:hAnsi="Calibri"/>
            <w:color w:val="1155CC"/>
            <w:u w:val="single"/>
          </w:rPr>
          <w:t>https://socialprescribingacademy.org.uk/media/dmzbrff1/nasp-briefing-natural-environment.pdf</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rPr>
        <w:t xml:space="preserve">McEwan, K., Richardson, M., Sheffield, D., Ferguson, F. J., &amp; Brindley, P. (2019). A smartphone app for improving mental health through connecting with urban nature. International Journal of Environmental Research and Public Health, 16, 3373. </w:t>
      </w:r>
      <w:hyperlink r:id="rId6">
        <w:r>
          <w:rPr>
            <w:rStyle w:val="Style3"/>
            <w:rFonts w:eastAsia="Calibri" w:cs="Calibri" w:ascii="Calibri" w:hAnsi="Calibri"/>
            <w:color w:val="1155CC"/>
            <w:u w:val="single"/>
          </w:rPr>
          <w:t>https://doi.org/10.3390/ijerph16183373</w:t>
        </w:r>
      </w:hyperlink>
    </w:p>
    <w:p>
      <w:pPr>
        <w:pStyle w:val="normal1"/>
        <w:shd w:val="clear" w:fill="FFFFFF"/>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color w:val="222222"/>
          <w:highlight w:val="white"/>
        </w:rPr>
        <w:t>The benefits of citizen science and nature-noticing activities for well-being, nature connectedness and pro-nature conservation behaviours</w:t>
      </w:r>
    </w:p>
    <w:p>
      <w:pPr>
        <w:pStyle w:val="normal1"/>
        <w:shd w:val="clear" w:fill="FFFFFF"/>
        <w:ind w:hanging="0" w:left="720"/>
        <w:rPr>
          <w:rFonts w:ascii="Calibri" w:hAnsi="Calibri" w:eastAsia="Calibri" w:cs="Calibri"/>
          <w:color w:val="222222"/>
          <w:highlight w:val="white"/>
        </w:rPr>
      </w:pPr>
      <w:r>
        <w:rPr>
          <w:rFonts w:eastAsia="Calibri" w:cs="Calibri" w:ascii="Calibri" w:hAnsi="Calibri"/>
          <w:color w:val="222222"/>
          <w:highlight w:val="white"/>
        </w:rPr>
        <w:t>Michael J. O. Pocock, Iain Hamlin, Jennifer Christelow, Holli-Anne Passmore, Miles Richardson.  People and Nature 5, 2, 591-606 (2023)</w:t>
      </w:r>
    </w:p>
    <w:p>
      <w:pPr>
        <w:pStyle w:val="normal1"/>
        <w:shd w:val="clear" w:fill="FFFFFF"/>
        <w:ind w:hanging="0" w:left="720"/>
        <w:rPr>
          <w:rFonts w:ascii="Calibri" w:hAnsi="Calibri" w:eastAsia="Calibri" w:cs="Calibri"/>
        </w:rPr>
      </w:pPr>
      <w:hyperlink r:id="rId7">
        <w:r>
          <w:rPr>
            <w:rStyle w:val="Style3"/>
            <w:rFonts w:eastAsia="Calibri" w:cs="Calibri" w:ascii="Calibri" w:hAnsi="Calibri"/>
            <w:color w:val="1155CC"/>
            <w:highlight w:val="white"/>
            <w:u w:val="single"/>
          </w:rPr>
          <w:t>https://doi.org/10.1002/pan3.10432</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hyperlink r:id="rId8">
        <w:r>
          <w:rPr>
            <w:rStyle w:val="Style3"/>
            <w:rFonts w:eastAsia="Calibri" w:cs="Calibri" w:ascii="Calibri" w:hAnsi="Calibri"/>
            <w:color w:val="1155CC"/>
            <w:u w:val="single"/>
          </w:rPr>
          <w:t>https://findingnature.org.uk/2020/02/13/a-missing-link-in-a-sustainable-and-worthwhile-life/</w:t>
        </w:r>
      </w:hyperlink>
    </w:p>
    <w:p>
      <w:pPr>
        <w:pStyle w:val="normal1"/>
        <w:shd w:val="clear" w:fill="FFFFFF"/>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rPr>
        <w:t>Capaldi, C. A., Dopko, R. L., &amp; Zelenski, J. M. (2014). The relationship between nature connectedness and happiness: A meta-analysis.Frontiers in Psychology, 5, 976.</w:t>
      </w:r>
      <w:hyperlink r:id="rId9">
        <w:r>
          <w:rPr>
            <w:rStyle w:val="Style3"/>
            <w:rFonts w:eastAsia="Calibri" w:cs="Calibri" w:ascii="Calibri" w:hAnsi="Calibri"/>
            <w:color w:val="1155CC"/>
            <w:u w:val="single"/>
          </w:rPr>
          <w:t>https://doi.org/10.3389/fpsyg.2014.00976</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rPr>
        <w:t>Pritchard, A., Richardson, M., Sheffield, D., &amp; McEwan, K. (2019). The relationship between nature connectedness and eudaimonic well-being: A meta-analysis. Journal of Happiness Studies,21, 1145-1167.</w:t>
      </w:r>
    </w:p>
    <w:p>
      <w:pPr>
        <w:pStyle w:val="normal1"/>
        <w:shd w:val="clear" w:fill="FFFFFF"/>
        <w:ind w:hanging="0" w:left="720"/>
        <w:rPr>
          <w:rFonts w:ascii="Calibri" w:hAnsi="Calibri" w:eastAsia="Calibri" w:cs="Calibri"/>
        </w:rPr>
      </w:pPr>
      <w:hyperlink r:id="rId10">
        <w:r>
          <w:rPr>
            <w:rStyle w:val="Style3"/>
            <w:rFonts w:eastAsia="Calibri" w:cs="Calibri" w:ascii="Calibri" w:hAnsi="Calibri"/>
            <w:color w:val="1155CC"/>
            <w:u w:val="single"/>
          </w:rPr>
          <w:t>https://doi.org/10.1007/s10902-019-00118-6</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rPr>
        <w:t>Nature; How connecting with nature benefits our mental health.  Mental Health Foundation 2021</w:t>
      </w:r>
    </w:p>
    <w:p>
      <w:pPr>
        <w:pStyle w:val="normal1"/>
        <w:ind w:hanging="0" w:left="720"/>
        <w:rPr>
          <w:rFonts w:ascii="Calibri" w:hAnsi="Calibri" w:eastAsia="Calibri" w:cs="Calibri"/>
        </w:rPr>
      </w:pPr>
      <w:hyperlink r:id="rId11">
        <w:r>
          <w:rPr>
            <w:rStyle w:val="Style3"/>
            <w:rFonts w:eastAsia="Calibri" w:cs="Calibri" w:ascii="Calibri" w:hAnsi="Calibri"/>
            <w:color w:val="1155CC"/>
            <w:u w:val="single"/>
          </w:rPr>
          <w:t>https://www.mentalhealth.org.uk/sites/default/files/2022-06/MHAW21-Nature-research-report.pdf</w:t>
        </w:r>
      </w:hyperlink>
    </w:p>
    <w:p>
      <w:pPr>
        <w:pStyle w:val="normal1"/>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color w:val="222222"/>
          <w:highlight w:val="white"/>
        </w:rPr>
        <w:t xml:space="preserve">Hammoud, R., Tognin, S., Bakolis, I. </w:t>
      </w:r>
      <w:r>
        <w:rPr>
          <w:rFonts w:eastAsia="Calibri" w:cs="Calibri" w:ascii="Calibri" w:hAnsi="Calibri"/>
          <w:i/>
          <w:color w:val="222222"/>
          <w:highlight w:val="white"/>
        </w:rPr>
        <w:t>et al.</w:t>
      </w:r>
      <w:r>
        <w:rPr>
          <w:rFonts w:eastAsia="Calibri" w:cs="Calibri" w:ascii="Calibri" w:hAnsi="Calibri"/>
          <w:color w:val="222222"/>
          <w:highlight w:val="white"/>
        </w:rPr>
        <w:t xml:space="preserve"> Lonely in a crowd: investigating the association between overcrowding and loneliness using smartphone technologies. </w:t>
      </w:r>
      <w:r>
        <w:rPr>
          <w:rFonts w:eastAsia="Calibri" w:cs="Calibri" w:ascii="Calibri" w:hAnsi="Calibri"/>
          <w:i/>
          <w:color w:val="222222"/>
          <w:highlight w:val="white"/>
        </w:rPr>
        <w:t>Sci Rep</w:t>
      </w:r>
      <w:r>
        <w:rPr>
          <w:rFonts w:eastAsia="Calibri" w:cs="Calibri" w:ascii="Calibri" w:hAnsi="Calibri"/>
          <w:color w:val="222222"/>
          <w:highlight w:val="white"/>
        </w:rPr>
        <w:t xml:space="preserve"> 11, 24134 (2021). https://doi.org/10.1038/s41598-021-03398-2</w:t>
      </w:r>
    </w:p>
    <w:p>
      <w:pPr>
        <w:pStyle w:val="normal1"/>
        <w:ind w:hanging="0" w:left="720"/>
        <w:rPr>
          <w:rFonts w:ascii="Calibri" w:hAnsi="Calibri" w:eastAsia="Calibri" w:cs="Calibri"/>
          <w:color w:val="222222"/>
          <w:highlight w:val="white"/>
        </w:rPr>
      </w:pPr>
      <w:r>
        <w:rPr>
          <w:rFonts w:eastAsia="Calibri" w:cs="Calibri" w:ascii="Calibri" w:hAnsi="Calibri"/>
          <w:color w:val="222222"/>
          <w:highlight w:val="white"/>
        </w:rPr>
      </w:r>
    </w:p>
    <w:p>
      <w:pPr>
        <w:pStyle w:val="normal1"/>
        <w:numPr>
          <w:ilvl w:val="0"/>
          <w:numId w:val="1"/>
        </w:numPr>
        <w:ind w:hanging="360" w:left="720"/>
        <w:rPr>
          <w:rFonts w:ascii="Calibri" w:hAnsi="Calibri" w:eastAsia="Calibri" w:cs="Calibri"/>
        </w:rPr>
      </w:pPr>
      <w:r>
        <w:rPr>
          <w:rFonts w:eastAsia="Calibri" w:cs="Calibri" w:ascii="Calibri" w:hAnsi="Calibri"/>
          <w:color w:val="333333"/>
          <w:highlight w:val="white"/>
        </w:rPr>
        <w:t xml:space="preserve">Jimenez MP, Elliott EG, DeVille NV, et al. Residential Green Space and Cognitive Function in a Large Cohort of Middle-Aged Women. </w:t>
      </w:r>
      <w:r>
        <w:rPr>
          <w:rFonts w:eastAsia="Calibri" w:cs="Calibri" w:ascii="Calibri" w:hAnsi="Calibri"/>
          <w:i/>
          <w:color w:val="333333"/>
          <w:highlight w:val="white"/>
        </w:rPr>
        <w:t>JAMA Netw Open.</w:t>
      </w:r>
      <w:r>
        <w:rPr>
          <w:rFonts w:eastAsia="Calibri" w:cs="Calibri" w:ascii="Calibri" w:hAnsi="Calibri"/>
          <w:color w:val="333333"/>
          <w:highlight w:val="white"/>
        </w:rPr>
        <w:t xml:space="preserve"> 2022;5(4):e229306. doi:10.1001/jamanetworkopen.2022.9306</w:t>
      </w:r>
    </w:p>
    <w:p>
      <w:pPr>
        <w:pStyle w:val="normal1"/>
        <w:ind w:hanging="0" w:left="720"/>
        <w:rPr>
          <w:rFonts w:ascii="Calibri" w:hAnsi="Calibri" w:eastAsia="Calibri" w:cs="Calibri"/>
          <w:color w:val="333333"/>
          <w:highlight w:val="white"/>
        </w:rPr>
      </w:pPr>
      <w:r>
        <w:rPr>
          <w:rFonts w:eastAsia="Calibri" w:cs="Calibri" w:ascii="Calibri" w:hAnsi="Calibri"/>
          <w:color w:val="333333"/>
          <w:highlight w:val="white"/>
        </w:rPr>
      </w:r>
    </w:p>
    <w:p>
      <w:pPr>
        <w:pStyle w:val="normal1"/>
        <w:numPr>
          <w:ilvl w:val="0"/>
          <w:numId w:val="1"/>
        </w:numPr>
        <w:shd w:val="clear" w:fill="FFFFFF"/>
        <w:ind w:hanging="360" w:left="720"/>
        <w:rPr>
          <w:rFonts w:ascii="Calibri" w:hAnsi="Calibri" w:eastAsia="Calibri" w:cs="Calibri"/>
        </w:rPr>
      </w:pPr>
      <w:r>
        <w:rPr>
          <w:rFonts w:eastAsia="Calibri" w:cs="Calibri" w:ascii="Calibri" w:hAnsi="Calibri"/>
          <w:color w:val="222222"/>
          <w:highlight w:val="white"/>
        </w:rPr>
        <w:t xml:space="preserve">Hammoud, R., Tognin, S., Smythe, M. </w:t>
      </w:r>
      <w:r>
        <w:rPr>
          <w:rFonts w:eastAsia="Calibri" w:cs="Calibri" w:ascii="Calibri" w:hAnsi="Calibri"/>
          <w:i/>
          <w:color w:val="222222"/>
          <w:highlight w:val="white"/>
        </w:rPr>
        <w:t>et al.</w:t>
      </w:r>
      <w:r>
        <w:rPr>
          <w:rFonts w:eastAsia="Calibri" w:cs="Calibri" w:ascii="Calibri" w:hAnsi="Calibri"/>
          <w:color w:val="222222"/>
          <w:highlight w:val="white"/>
        </w:rPr>
        <w:t xml:space="preserve"> Smartphone-based ecological momentary assessment reveals an incremental association between natural diversity and mental wellbeing. </w:t>
      </w:r>
      <w:r>
        <w:rPr>
          <w:rFonts w:eastAsia="Calibri" w:cs="Calibri" w:ascii="Calibri" w:hAnsi="Calibri"/>
          <w:i/>
          <w:color w:val="222222"/>
          <w:highlight w:val="white"/>
        </w:rPr>
        <w:t>Sci Rep</w:t>
      </w:r>
      <w:r>
        <w:rPr>
          <w:rFonts w:eastAsia="Calibri" w:cs="Calibri" w:ascii="Calibri" w:hAnsi="Calibri"/>
          <w:color w:val="222222"/>
          <w:highlight w:val="white"/>
        </w:rPr>
        <w:t xml:space="preserve"> 14, 7051 (2024). </w:t>
      </w:r>
      <w:hyperlink r:id="rId12">
        <w:r>
          <w:rPr>
            <w:rStyle w:val="Style3"/>
            <w:rFonts w:eastAsia="Calibri" w:cs="Calibri" w:ascii="Calibri" w:hAnsi="Calibri"/>
            <w:color w:val="1155CC"/>
            <w:highlight w:val="white"/>
            <w:u w:val="single"/>
          </w:rPr>
          <w:t>https://doi.org/10.1038/s41598-024-55940-7</w:t>
        </w:r>
      </w:hyperlink>
    </w:p>
    <w:p>
      <w:pPr>
        <w:pStyle w:val="normal1"/>
        <w:shd w:val="clear" w:fill="FFFFFF"/>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color w:val="2A2A2A"/>
          <w:highlight w:val="white"/>
        </w:rPr>
        <w:t xml:space="preserve">Martin Dallimer, Katherine N. Irvine, Andrew M. J. Skinner, Zoe G. Davies, James R. Rouquette, Lorraine L. Maltby, Philip H. Warren, Paul R. Armsworth, Kevin J. Gaston, Biodiversity and the Feel-Good Factor: Understanding Associations between Self-Reported Human Well-being and Species Richness, </w:t>
      </w:r>
      <w:r>
        <w:rPr>
          <w:rFonts w:eastAsia="Calibri" w:cs="Calibri" w:ascii="Calibri" w:hAnsi="Calibri"/>
          <w:i/>
          <w:color w:val="2A2A2A"/>
          <w:highlight w:val="white"/>
        </w:rPr>
        <w:t>BioScience</w:t>
      </w:r>
      <w:r>
        <w:rPr>
          <w:rFonts w:eastAsia="Calibri" w:cs="Calibri" w:ascii="Calibri" w:hAnsi="Calibri"/>
          <w:color w:val="2A2A2A"/>
          <w:highlight w:val="white"/>
        </w:rPr>
        <w:t xml:space="preserve">, Volume 62, Issue 1, January 2012, Pages 47–55, </w:t>
      </w:r>
      <w:hyperlink r:id="rId13">
        <w:r>
          <w:rPr>
            <w:rStyle w:val="Style3"/>
            <w:rFonts w:eastAsia="Calibri" w:cs="Calibri" w:ascii="Calibri" w:hAnsi="Calibri"/>
            <w:color w:val="006FB7"/>
            <w:highlight w:val="white"/>
          </w:rPr>
          <w:t>https://doi.org/10.1525/bio.2012.62.1.9</w:t>
        </w:r>
      </w:hyperlink>
    </w:p>
    <w:p>
      <w:pPr>
        <w:pStyle w:val="normal1"/>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color w:val="212121"/>
          <w:highlight w:val="white"/>
        </w:rPr>
        <w:t>Jo H, Song C, Miyazaki Y. Physiological Benefits of Viewing Nature: A Systematic Review of Indoor Experiments. Int J Environ Res Public Health. 2019 Nov 27;16(23):4739. doi: 10.3390/ijerph16234739. PMID: 31783531; PMCID: PMC6926748.</w:t>
      </w:r>
    </w:p>
    <w:p>
      <w:pPr>
        <w:pStyle w:val="normal1"/>
        <w:ind w:hanging="0" w:left="720"/>
        <w:rPr>
          <w:rFonts w:ascii="Calibri" w:hAnsi="Calibri" w:eastAsia="Calibri" w:cs="Calibri"/>
          <w:color w:val="212121"/>
          <w:highlight w:val="white"/>
        </w:rPr>
      </w:pPr>
      <w:r>
        <w:rPr>
          <w:rFonts w:eastAsia="Calibri" w:cs="Calibri" w:ascii="Calibri" w:hAnsi="Calibri"/>
          <w:color w:val="212121"/>
          <w:highlight w:val="white"/>
        </w:rPr>
      </w:r>
    </w:p>
    <w:p>
      <w:pPr>
        <w:pStyle w:val="normal1"/>
        <w:numPr>
          <w:ilvl w:val="0"/>
          <w:numId w:val="1"/>
        </w:numPr>
        <w:ind w:hanging="360" w:left="720"/>
        <w:rPr>
          <w:rFonts w:ascii="Calibri" w:hAnsi="Calibri" w:eastAsia="Calibri" w:cs="Calibri"/>
        </w:rPr>
      </w:pPr>
      <w:r>
        <w:rPr>
          <w:rFonts w:eastAsia="Calibri" w:cs="Calibri" w:ascii="Calibri" w:hAnsi="Calibri"/>
        </w:rPr>
        <w:t xml:space="preserve">Vermeesch AL, Ellsworth-Kopkowski A, Prather JG, Passel C, Rogers HH, Hansen MM. Shinrin-Yoku (Forest Bathing): A Scoping Review of the Global Research on the Effects of Spending Time in Nature. Glob Adv Integr Med Health. 2024 Feb 27;13:27536130241231258. doi: 10.1177/27536130241231258. </w:t>
      </w:r>
    </w:p>
    <w:p>
      <w:pPr>
        <w:pStyle w:val="normal1"/>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color w:val="212121"/>
          <w:highlight w:val="white"/>
        </w:rPr>
        <w:t>Li Q. Effects of forest environment (Shinrin-yoku/Forest bathing) on health promotion and disease prevention -the Establishment of "Forest Medicine". Environ Health Prev Med. 2022;27:43. doi: 10.1265/ehpm.22-00160. PMID: 36328581; PMCID: PMC9665958.</w:t>
      </w:r>
    </w:p>
    <w:p>
      <w:pPr>
        <w:pStyle w:val="normal1"/>
        <w:ind w:hanging="0" w:left="720"/>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rPr>
        <w:t xml:space="preserve">Ikei H, Komatsu M, Song C, Himoro E, Miyazaki Y. The physiological and psychological relaxing effects of viewing rose flowers in office workers. J Physiol Anthropol. 2014 Mar 8;33(1):6. doi: 10.1186/1880-6805-33-6 </w:t>
      </w:r>
    </w:p>
    <w:p>
      <w:pPr>
        <w:pStyle w:val="normal1"/>
        <w:rPr>
          <w:rFonts w:ascii="Calibri" w:hAnsi="Calibri" w:eastAsia="Calibri" w:cs="Calibri"/>
        </w:rPr>
      </w:pPr>
      <w:r>
        <w:rPr>
          <w:rFonts w:eastAsia="Calibri" w:cs="Calibri" w:ascii="Calibri" w:hAnsi="Calibri"/>
        </w:rPr>
      </w:r>
    </w:p>
    <w:p>
      <w:pPr>
        <w:pStyle w:val="normal1"/>
        <w:numPr>
          <w:ilvl w:val="0"/>
          <w:numId w:val="1"/>
        </w:numPr>
        <w:ind w:hanging="360" w:left="720"/>
        <w:rPr>
          <w:rFonts w:ascii="Calibri" w:hAnsi="Calibri" w:eastAsia="Calibri" w:cs="Calibri"/>
        </w:rPr>
      </w:pPr>
      <w:r>
        <w:rPr>
          <w:rFonts w:eastAsia="Calibri" w:cs="Calibri" w:ascii="Calibri" w:hAnsi="Calibri"/>
          <w:color w:val="222222"/>
          <w:highlight w:val="white"/>
        </w:rPr>
        <w:t xml:space="preserve">Hammoud, R., Tognin, S., Burgess, L. </w:t>
      </w:r>
      <w:r>
        <w:rPr>
          <w:rFonts w:eastAsia="Calibri" w:cs="Calibri" w:ascii="Calibri" w:hAnsi="Calibri"/>
          <w:i/>
          <w:color w:val="222222"/>
          <w:highlight w:val="white"/>
        </w:rPr>
        <w:t>et al.</w:t>
      </w:r>
      <w:r>
        <w:rPr>
          <w:rFonts w:eastAsia="Calibri" w:cs="Calibri" w:ascii="Calibri" w:hAnsi="Calibri"/>
          <w:color w:val="222222"/>
          <w:highlight w:val="white"/>
        </w:rPr>
        <w:t xml:space="preserve"> Smartphone-based ecological momentary assessment reveals mental health benefits of birdlife. </w:t>
      </w:r>
      <w:r>
        <w:rPr>
          <w:rFonts w:eastAsia="Calibri" w:cs="Calibri" w:ascii="Calibri" w:hAnsi="Calibri"/>
          <w:i/>
          <w:color w:val="222222"/>
          <w:highlight w:val="white"/>
        </w:rPr>
        <w:t>Sci Rep</w:t>
      </w:r>
      <w:r>
        <w:rPr>
          <w:rFonts w:eastAsia="Calibri" w:cs="Calibri" w:ascii="Calibri" w:hAnsi="Calibri"/>
          <w:color w:val="222222"/>
          <w:highlight w:val="white"/>
        </w:rPr>
        <w:t xml:space="preserve"> 12, 17589 (2022). </w:t>
      </w:r>
      <w:hyperlink r:id="rId14">
        <w:r>
          <w:rPr>
            <w:rStyle w:val="Style3"/>
            <w:rFonts w:eastAsia="Calibri" w:cs="Calibri" w:ascii="Calibri" w:hAnsi="Calibri"/>
            <w:color w:val="1155CC"/>
            <w:highlight w:val="white"/>
            <w:u w:val="single"/>
          </w:rPr>
          <w:t>https://doi.org/10.1038/s41598-022-20207-6</w:t>
        </w:r>
      </w:hyperlink>
    </w:p>
    <w:p>
      <w:pPr>
        <w:pStyle w:val="normal1"/>
        <w:ind w:hanging="0" w:left="720"/>
        <w:rPr>
          <w:rFonts w:ascii="Calibri" w:hAnsi="Calibri" w:eastAsia="Calibri" w:cs="Calibri"/>
          <w:color w:val="222222"/>
          <w:highlight w:val="white"/>
        </w:rPr>
      </w:pPr>
      <w:r>
        <w:rPr>
          <w:rFonts w:eastAsia="Calibri" w:cs="Calibri" w:ascii="Calibri" w:hAnsi="Calibri"/>
          <w:color w:val="222222"/>
          <w:highlight w:val="white"/>
        </w:rPr>
      </w:r>
    </w:p>
    <w:p>
      <w:pPr>
        <w:pStyle w:val="normal1"/>
        <w:numPr>
          <w:ilvl w:val="0"/>
          <w:numId w:val="1"/>
        </w:numPr>
        <w:ind w:hanging="360" w:left="720"/>
        <w:rPr>
          <w:rFonts w:ascii="Calibri" w:hAnsi="Calibri" w:eastAsia="Calibri" w:cs="Calibri"/>
        </w:rPr>
      </w:pPr>
      <w:r>
        <w:rPr>
          <w:rFonts w:eastAsia="Calibri" w:cs="Calibri" w:ascii="Calibri" w:hAnsi="Calibri"/>
        </w:rPr>
        <w:t xml:space="preserve">Ratcliffe E, Gatersleben B, Sowden PT. Bird sounds and their contributions to perceived attention restoration and stress recovery. Journal of Environmental Psychology 2013, 36, 221-228, ISSN 0272-4944, </w:t>
      </w:r>
      <w:hyperlink r:id="rId15">
        <w:r>
          <w:rPr>
            <w:rStyle w:val="Style3"/>
            <w:rFonts w:eastAsia="Calibri" w:cs="Calibri" w:ascii="Calibri" w:hAnsi="Calibri"/>
            <w:color w:val="1155CC"/>
            <w:u w:val="single"/>
          </w:rPr>
          <w:t>https://doi.org/10.1016/j.jenvp.2013.08.004</w:t>
        </w:r>
      </w:hyperlink>
    </w:p>
    <w:p>
      <w:pPr>
        <w:pStyle w:val="normal1"/>
        <w:ind w:hanging="0" w:left="0"/>
        <w:rPr>
          <w:rFonts w:ascii="Calibri" w:hAnsi="Calibri" w:eastAsia="Calibri" w:cs="Calibri"/>
          <w:sz w:val="28"/>
          <w:szCs w:val="28"/>
        </w:rPr>
      </w:pPr>
      <w:r>
        <w:rPr>
          <w:rFonts w:eastAsia="Calibri" w:cs="Calibri" w:ascii="Calibri" w:hAnsi="Calibri"/>
          <w:sz w:val="28"/>
          <w:szCs w:val="28"/>
        </w:rPr>
      </w:r>
    </w:p>
    <w:p>
      <w:pPr>
        <w:pStyle w:val="normal1"/>
        <w:ind w:hanging="0" w:left="0"/>
        <w:rPr>
          <w:rFonts w:ascii="Calibri" w:hAnsi="Calibri" w:eastAsia="Calibri" w:cs="Calibri"/>
          <w:b/>
          <w:bCs/>
          <w:sz w:val="28"/>
          <w:szCs w:val="28"/>
        </w:rPr>
      </w:pPr>
      <w:r>
        <w:rPr>
          <w:rFonts w:eastAsia="Calibri" w:cs="Calibri" w:ascii="Calibri" w:hAnsi="Calibri"/>
          <w:b/>
          <w:bCs/>
          <w:sz w:val="28"/>
          <w:szCs w:val="28"/>
        </w:rPr>
        <w:t>Information collated by York Bike Belles CIC, April 2024</w:t>
      </w:r>
    </w:p>
    <w:p>
      <w:pPr>
        <w:pStyle w:val="normal1"/>
        <w:ind w:hanging="0" w:left="0"/>
        <w:rPr>
          <w:rFonts w:ascii="Calibri" w:hAnsi="Calibri" w:eastAsia="Calibri" w:cs="Calibri"/>
          <w:b/>
          <w:bCs/>
          <w:sz w:val="28"/>
          <w:szCs w:val="28"/>
        </w:rPr>
      </w:pPr>
      <w:r>
        <w:rPr>
          <w:rFonts w:eastAsia="Calibri" w:cs="Calibri" w:ascii="Calibri" w:hAnsi="Calibri"/>
          <w:b/>
          <w:bCs/>
          <w:sz w:val="28"/>
          <w:szCs w:val="28"/>
        </w:rPr>
      </w:r>
    </w:p>
    <w:p>
      <w:pPr>
        <w:pStyle w:val="normal1"/>
        <w:ind w:hanging="0" w:left="0"/>
        <w:rPr>
          <w:rFonts w:ascii="Calibri" w:hAnsi="Calibri" w:eastAsia="Calibri" w:cs="Calibri"/>
          <w:b/>
          <w:bCs/>
          <w:sz w:val="28"/>
          <w:szCs w:val="28"/>
        </w:rPr>
      </w:pPr>
      <w:r>
        <w:rPr>
          <w:rFonts w:eastAsia="Calibri" w:cs="Calibri" w:ascii="Calibri" w:hAnsi="Calibri"/>
          <w:b/>
          <w:bCs/>
          <w:sz w:val="28"/>
          <w:szCs w:val="28"/>
        </w:rPr>
      </w:r>
    </w:p>
    <w:p>
      <w:pPr>
        <w:pStyle w:val="normal1"/>
        <w:ind w:hanging="0" w:left="720"/>
        <w:rPr>
          <w:rFonts w:ascii="Calibri" w:hAnsi="Calibri" w:eastAsia="Calibri" w:cs="Calibri"/>
          <w:sz w:val="28"/>
          <w:szCs w:val="28"/>
        </w:rPr>
      </w:pPr>
      <w:r>
        <w:rPr>
          <w:rFonts w:eastAsia="Calibri" w:cs="Calibri" w:ascii="Calibri" w:hAnsi="Calibri"/>
          <w:sz w:val="28"/>
          <w:szCs w:val="28"/>
        </w:rPr>
      </w:r>
    </w:p>
    <w:p>
      <w:pPr>
        <w:pStyle w:val="normal1"/>
        <w:ind w:hanging="0" w:left="0"/>
        <w:rPr>
          <w:sz w:val="20"/>
          <w:szCs w:val="20"/>
        </w:rPr>
      </w:pPr>
      <w:r>
        <w:rPr>
          <w:rFonts w:eastAsia="Roboto" w:cs="Roboto" w:ascii="Roboto" w:hAnsi="Roboto"/>
          <w:color w:val="222222"/>
          <w:sz w:val="24"/>
          <w:szCs w:val="24"/>
          <w:highlight w:val="white"/>
        </w:rPr>
      </w:r>
    </w:p>
    <w:p>
      <w:pPr>
        <w:pStyle w:val="normal1"/>
        <w:shd w:val="clear" w:fill="FFFFFF"/>
        <w:rPr>
          <w:sz w:val="25"/>
          <w:szCs w:val="25"/>
        </w:rPr>
      </w:pPr>
      <w:r>
        <w:rPr>
          <w:sz w:val="25"/>
          <w:szCs w:val="25"/>
        </w:rPr>
      </w:r>
    </w:p>
    <w:p>
      <w:pPr>
        <w:pStyle w:val="normal1"/>
        <w:shd w:val="clear" w:fill="FFFFFF"/>
        <w:rPr>
          <w:sz w:val="20"/>
          <w:szCs w:val="20"/>
        </w:rPr>
      </w:pPr>
      <w:r>
        <w:rPr>
          <w:rFonts w:eastAsia="Calibri" w:cs="Calibri" w:ascii="Calibri" w:hAnsi="Calibri"/>
          <w:sz w:val="28"/>
          <w:szCs w:val="28"/>
        </w:rPr>
      </w:r>
    </w:p>
    <w:sectPr>
      <w:headerReference w:type="even" r:id="rId16"/>
      <w:headerReference w:type="default" r:id="rId17"/>
      <w:headerReference w:type="first" r:id="rId18"/>
      <w:type w:val="nextPage"/>
      <w:pgSz w:w="12240" w:h="15840"/>
      <w:pgMar w:left="1440" w:right="1440" w:gutter="0" w:header="72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libri">
    <w:charset w:val="00"/>
    <w:family w:val="swiss"/>
    <w:pitch w:val="variable"/>
  </w:font>
  <w:font w:name="Roboto">
    <w:charset w:val="00"/>
    <w:family w:val="swiss"/>
    <w:pitch w:val="variable"/>
  </w:font>
  <w:font w:name="Wingdings">
    <w:charset w:val="02"/>
    <w:family w:val="auto"/>
    <w:pitch w:val="variable"/>
  </w:font>
  <w:font w:name="Wingdings 2">
    <w:charset w:val="02"/>
    <w:family w:val="roman"/>
    <w:pitch w:val="variable"/>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2">
    <w:lvl w:ilvl="0">
      <w:start w:val="1"/>
      <w:numFmt w:val="decimal"/>
      <w:lvlText w:val="%1."/>
      <w:lvlJc w:val="right"/>
      <w:pPr>
        <w:tabs>
          <w:tab w:val="num" w:pos="0"/>
        </w:tabs>
        <w:ind w:left="720" w:hanging="360"/>
      </w:pPr>
      <w:rPr>
        <w:u w:val="none"/>
        <w:b/>
        <w:rFonts w:ascii="Arial" w:hAnsi="Arial" w:eastAsia="Arial" w:cs="Arial"/>
      </w:rPr>
    </w:lvl>
    <w:lvl w:ilvl="1">
      <w:start w:val="1"/>
      <w:numFmt w:val="decimal"/>
      <w:lvlText w:val="%1.%2."/>
      <w:lvlJc w:val="right"/>
      <w:pPr>
        <w:tabs>
          <w:tab w:val="num" w:pos="0"/>
        </w:tabs>
        <w:ind w:left="1440" w:hanging="360"/>
      </w:pPr>
      <w:rPr>
        <w:u w:val="none"/>
      </w:rPr>
    </w:lvl>
    <w:lvl w:ilvl="2">
      <w:start w:val="1"/>
      <w:numFmt w:val="decimal"/>
      <w:lvlText w:val="%1.%2.%3."/>
      <w:lvlJc w:val="right"/>
      <w:pPr>
        <w:tabs>
          <w:tab w:val="num" w:pos="0"/>
        </w:tabs>
        <w:ind w:left="2160" w:hanging="360"/>
      </w:pPr>
      <w:rPr>
        <w:u w:val="none"/>
      </w:rPr>
    </w:lvl>
    <w:lvl w:ilvl="3">
      <w:start w:val="1"/>
      <w:numFmt w:val="decimal"/>
      <w:lvlText w:val="%1.%2.%3.%4."/>
      <w:lvlJc w:val="right"/>
      <w:pPr>
        <w:tabs>
          <w:tab w:val="num" w:pos="0"/>
        </w:tabs>
        <w:ind w:left="2880" w:hanging="360"/>
      </w:pPr>
      <w:rPr>
        <w:u w:val="none"/>
      </w:rPr>
    </w:lvl>
    <w:lvl w:ilvl="4">
      <w:start w:val="1"/>
      <w:numFmt w:val="decimal"/>
      <w:lvlText w:val="%1.%2.%3.%4.%5."/>
      <w:lvlJc w:val="right"/>
      <w:pPr>
        <w:tabs>
          <w:tab w:val="num" w:pos="0"/>
        </w:tabs>
        <w:ind w:left="3600" w:hanging="360"/>
      </w:pPr>
      <w:rPr>
        <w:u w:val="none"/>
      </w:rPr>
    </w:lvl>
    <w:lvl w:ilvl="5">
      <w:start w:val="1"/>
      <w:numFmt w:val="decimal"/>
      <w:lvlText w:val="%1.%2.%3.%4.%5.%6."/>
      <w:lvlJc w:val="right"/>
      <w:pPr>
        <w:tabs>
          <w:tab w:val="num" w:pos="0"/>
        </w:tabs>
        <w:ind w:left="4320" w:hanging="360"/>
      </w:pPr>
      <w:rPr>
        <w:u w:val="none"/>
      </w:rPr>
    </w:lvl>
    <w:lvl w:ilvl="6">
      <w:start w:val="1"/>
      <w:numFmt w:val="decimal"/>
      <w:lvlText w:val="%1.%2.%3.%4.%5.%6.%7."/>
      <w:lvlJc w:val="right"/>
      <w:pPr>
        <w:tabs>
          <w:tab w:val="num" w:pos="0"/>
        </w:tabs>
        <w:ind w:left="5040" w:hanging="360"/>
      </w:pPr>
      <w:rPr>
        <w:u w:val="none"/>
      </w:rPr>
    </w:lvl>
    <w:lvl w:ilvl="7">
      <w:start w:val="1"/>
      <w:numFmt w:val="decimal"/>
      <w:lvlText w:val="%1.%2.%3.%4.%5.%6.%7.%8."/>
      <w:lvlJc w:val="right"/>
      <w:pPr>
        <w:tabs>
          <w:tab w:val="num" w:pos="0"/>
        </w:tabs>
        <w:ind w:left="5760" w:hanging="360"/>
      </w:pPr>
      <w:rPr>
        <w:u w:val="none"/>
      </w:rPr>
    </w:lvl>
    <w:lvl w:ilvl="8">
      <w:start w:val="1"/>
      <w:numFmt w:val="decimal"/>
      <w:lvlText w:val="%1.%2.%3.%4.%5.%6.%7.%8.%9."/>
      <w:lvlJc w:val="right"/>
      <w:pPr>
        <w:tabs>
          <w:tab w:val="num" w:pos="0"/>
        </w:tabs>
        <w:ind w:left="6480" w:hanging="360"/>
      </w:pPr>
      <w:rPr>
        <w:u w:val="none"/>
      </w:r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view w:val="web"/>
  <w:zoom w:percent="92"/>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default="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HeaderandFooter">
    <w:name w:val="Header and Footer"/>
    <w:basedOn w:val="Normal"/>
    <w:qFormat/>
    <w:pPr/>
    <w:rPr/>
  </w:style>
  <w:style w:type="paragraph" w:styleId="Header">
    <w:name w:val="header"/>
    <w:basedOn w:val="HeaderandFooter"/>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i.org/10.5502/ijw.v11i1.1267" TargetMode="External"/><Relationship Id="rId3" Type="http://schemas.openxmlformats.org/officeDocument/2006/relationships/hyperlink" Target="https://www.internationaljournalofwellbeing.org/index.php/ijow/article/view/1267/1015" TargetMode="External"/><Relationship Id="rId4" Type="http://schemas.openxmlformats.org/officeDocument/2006/relationships/hyperlink" Target="https://www.gov.uk/government/statistics/the-people-and-nature-survey-for-england-year-2-annual-report-data-and-publications-april-2021-march-2022-official-statistics-main-findings/the-people-and-nature-survey-for-england-year-2-annual-report-data-and-publications-april-2021-march-2022-official-statistics-main-findings" TargetMode="External"/><Relationship Id="rId5" Type="http://schemas.openxmlformats.org/officeDocument/2006/relationships/hyperlink" Target="https://socialprescribingacademy.org.uk/media/dmzbrff1/nasp-briefing-natural-environment.pdf" TargetMode="External"/><Relationship Id="rId6" Type="http://schemas.openxmlformats.org/officeDocument/2006/relationships/hyperlink" Target="https://doi.org/10.3390/ijerph16183373" TargetMode="External"/><Relationship Id="rId7" Type="http://schemas.openxmlformats.org/officeDocument/2006/relationships/hyperlink" Target="https://doi.org/10.1002/pan3.10432" TargetMode="External"/><Relationship Id="rId8" Type="http://schemas.openxmlformats.org/officeDocument/2006/relationships/hyperlink" Target="https://findingnature.org.uk/2020/02/13/a-missing-link-in-a-sustainable-and-worthwhile-life/" TargetMode="External"/><Relationship Id="rId9" Type="http://schemas.openxmlformats.org/officeDocument/2006/relationships/hyperlink" Target="https://doi.org/10.3389/fpsyg.2014.00976" TargetMode="External"/><Relationship Id="rId10" Type="http://schemas.openxmlformats.org/officeDocument/2006/relationships/hyperlink" Target="https://doi.org/10.1007/s10902-019-00118-6" TargetMode="External"/><Relationship Id="rId11" Type="http://schemas.openxmlformats.org/officeDocument/2006/relationships/hyperlink" Target="https://www.mentalhealth.org.uk/sites/default/files/2022-06/MHAW21-Nature-research-report.pdf" TargetMode="External"/><Relationship Id="rId12" Type="http://schemas.openxmlformats.org/officeDocument/2006/relationships/hyperlink" Target="https://doi.org/10.1038/s41598-024-55940-7" TargetMode="External"/><Relationship Id="rId13" Type="http://schemas.openxmlformats.org/officeDocument/2006/relationships/hyperlink" Target="https://doi.org/10.1525/bio.2012.62.1.9" TargetMode="External"/><Relationship Id="rId14" Type="http://schemas.openxmlformats.org/officeDocument/2006/relationships/hyperlink" Target="https://doi.org/10.1038/s41598-022-20207-6" TargetMode="External"/><Relationship Id="rId15" Type="http://schemas.openxmlformats.org/officeDocument/2006/relationships/hyperlink" Target="https://doi.org/10.1016/j.jenvp.2013.08.004"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header" Target="header3.xml"/><Relationship Id="rId19" Type="http://schemas.openxmlformats.org/officeDocument/2006/relationships/numbering" Target="numbering.xml"/><Relationship Id="rId20" Type="http://schemas.openxmlformats.org/officeDocument/2006/relationships/fontTable" Target="fontTable.xml"/><Relationship Id="rId21" Type="http://schemas.openxmlformats.org/officeDocument/2006/relationships/settings" Target="settings.xml"/><Relationship Id="rId2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22</TotalTime>
  <Application>LibreOffice/24.8.6.2$Windows_X86_64 LibreOffice_project/6d98ba145e9a8a39fc57bcc76981d1fb1316c60c</Application>
  <AppVersion>15.0000</AppVersion>
  <Pages>1</Pages>
  <Words>1079</Words>
  <Characters>7017</Characters>
  <CharactersWithSpaces>8001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2025-04-26T09:39:50Z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